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65B574" w14:textId="7F79B2AA" w:rsidR="003E2CE5" w:rsidRPr="00B41883" w:rsidRDefault="00261712" w:rsidP="003E2CE5">
      <w:pPr>
        <w:pStyle w:val="ALHeader1"/>
        <w:rPr>
          <w:rFonts w:ascii="Arial" w:hAnsi="Arial" w:cs="Arial"/>
        </w:rPr>
      </w:pPr>
      <w:r w:rsidRPr="00B41883">
        <w:rPr>
          <w:rFonts w:ascii="Arial" w:hAnsi="Arial" w:cs="Arial"/>
        </w:rPr>
        <w:t>S</w:t>
      </w:r>
      <w:r w:rsidR="003E2CE5" w:rsidRPr="00B41883">
        <w:rPr>
          <w:rFonts w:ascii="Arial" w:hAnsi="Arial" w:cs="Arial"/>
        </w:rPr>
        <w:t>UPPLEMENTAL TABLES</w:t>
      </w:r>
    </w:p>
    <w:p w14:paraId="5E0BCD15" w14:textId="4977EF88" w:rsidR="00A638CF" w:rsidRPr="00B41883" w:rsidRDefault="00A638CF" w:rsidP="00A638CF">
      <w:pPr>
        <w:pStyle w:val="ALHeader2"/>
        <w:rPr>
          <w:rFonts w:ascii="Arial" w:hAnsi="Arial" w:cs="Arial"/>
          <w:b w:val="0"/>
          <w:bCs/>
        </w:rPr>
      </w:pPr>
      <w:r w:rsidRPr="00B41883">
        <w:rPr>
          <w:rFonts w:ascii="Arial" w:hAnsi="Arial" w:cs="Arial"/>
          <w:b w:val="0"/>
          <w:bCs/>
        </w:rPr>
        <w:t xml:space="preserve">See excel file. </w:t>
      </w:r>
    </w:p>
    <w:p w14:paraId="6F94038C" w14:textId="77777777" w:rsidR="00A638CF" w:rsidRDefault="00A638CF" w:rsidP="00A638CF">
      <w:pPr>
        <w:pStyle w:val="ALHeader2"/>
        <w:rPr>
          <w:rFonts w:ascii="Arial" w:hAnsi="Arial" w:cs="Arial"/>
        </w:rPr>
      </w:pPr>
    </w:p>
    <w:p w14:paraId="2141F1A1" w14:textId="7D7306BD" w:rsidR="00592959" w:rsidRDefault="00592959" w:rsidP="00A638CF">
      <w:pPr>
        <w:pStyle w:val="ALHeader2"/>
        <w:rPr>
          <w:rFonts w:ascii="Arial" w:hAnsi="Arial" w:cs="Arial"/>
        </w:rPr>
      </w:pPr>
      <w:r>
        <w:rPr>
          <w:rFonts w:ascii="Arial" w:hAnsi="Arial" w:cs="Arial"/>
        </w:rPr>
        <w:t xml:space="preserve">Table S1. Summary of male and female demographics </w:t>
      </w:r>
    </w:p>
    <w:p w14:paraId="7235304B" w14:textId="77777777" w:rsidR="00592959" w:rsidRPr="00B41883" w:rsidRDefault="00592959" w:rsidP="00A638CF">
      <w:pPr>
        <w:pStyle w:val="ALHeader2"/>
        <w:rPr>
          <w:rFonts w:ascii="Arial" w:hAnsi="Arial" w:cs="Arial"/>
        </w:rPr>
      </w:pPr>
    </w:p>
    <w:p w14:paraId="5711B5BE" w14:textId="79AD5A73" w:rsidR="00835358" w:rsidRPr="00B41883" w:rsidRDefault="00835358" w:rsidP="00A638CF">
      <w:pPr>
        <w:pStyle w:val="ALHeader2"/>
        <w:rPr>
          <w:rFonts w:ascii="Arial" w:hAnsi="Arial" w:cs="Arial"/>
        </w:rPr>
      </w:pPr>
      <w:r w:rsidRPr="00B41883">
        <w:rPr>
          <w:rFonts w:ascii="Arial" w:hAnsi="Arial" w:cs="Arial"/>
        </w:rPr>
        <w:t>Table S</w:t>
      </w:r>
      <w:r w:rsidR="00592959">
        <w:rPr>
          <w:rFonts w:ascii="Arial" w:hAnsi="Arial" w:cs="Arial"/>
        </w:rPr>
        <w:t>2</w:t>
      </w:r>
      <w:r w:rsidRPr="00B41883">
        <w:rPr>
          <w:rFonts w:ascii="Arial" w:hAnsi="Arial" w:cs="Arial"/>
        </w:rPr>
        <w:t xml:space="preserve">. </w:t>
      </w:r>
      <w:r w:rsidR="00A638CF" w:rsidRPr="00B41883">
        <w:rPr>
          <w:rFonts w:ascii="Arial" w:hAnsi="Arial" w:cs="Arial"/>
        </w:rPr>
        <w:t xml:space="preserve">SNP probe quality metrics. </w:t>
      </w:r>
    </w:p>
    <w:p w14:paraId="0C8A77BD" w14:textId="77777777" w:rsidR="00835358" w:rsidRPr="00B41883" w:rsidRDefault="00835358">
      <w:pPr>
        <w:rPr>
          <w:rFonts w:ascii="Arial" w:hAnsi="Arial" w:cs="Arial"/>
          <w:sz w:val="22"/>
          <w:szCs w:val="22"/>
        </w:rPr>
      </w:pPr>
    </w:p>
    <w:p w14:paraId="1534AE2A" w14:textId="05A22C52" w:rsidR="00A638CF" w:rsidRPr="00B41883" w:rsidRDefault="00835358" w:rsidP="00A638CF">
      <w:pPr>
        <w:pStyle w:val="ALHeader2"/>
        <w:rPr>
          <w:rFonts w:ascii="Arial" w:hAnsi="Arial" w:cs="Arial"/>
        </w:rPr>
      </w:pPr>
      <w:r w:rsidRPr="00B41883">
        <w:rPr>
          <w:rFonts w:ascii="Arial" w:hAnsi="Arial" w:cs="Arial"/>
        </w:rPr>
        <w:t>Table S</w:t>
      </w:r>
      <w:r w:rsidR="00592959">
        <w:rPr>
          <w:rFonts w:ascii="Arial" w:hAnsi="Arial" w:cs="Arial"/>
        </w:rPr>
        <w:t>3</w:t>
      </w:r>
      <w:r w:rsidRPr="00B41883">
        <w:rPr>
          <w:rFonts w:ascii="Arial" w:hAnsi="Arial" w:cs="Arial"/>
        </w:rPr>
        <w:t xml:space="preserve">. </w:t>
      </w:r>
      <w:r w:rsidR="00A638CF" w:rsidRPr="00B41883">
        <w:rPr>
          <w:rFonts w:ascii="Arial" w:hAnsi="Arial" w:cs="Arial"/>
        </w:rPr>
        <w:t>CpGs associated with sex in array-specific analyses of overlapping CpGs (p&lt;1x10</w:t>
      </w:r>
      <w:r w:rsidR="00A638CF" w:rsidRPr="00B41883">
        <w:rPr>
          <w:rFonts w:ascii="Arial" w:hAnsi="Arial" w:cs="Arial"/>
          <w:vertAlign w:val="superscript"/>
        </w:rPr>
        <w:t>-8</w:t>
      </w:r>
      <w:r w:rsidR="00A638CF" w:rsidRPr="00B41883">
        <w:rPr>
          <w:rFonts w:ascii="Arial" w:hAnsi="Arial" w:cs="Arial"/>
        </w:rPr>
        <w:t>).</w:t>
      </w:r>
    </w:p>
    <w:p w14:paraId="5A3C9AA7" w14:textId="210A4C6A" w:rsidR="00835358" w:rsidRPr="00B41883" w:rsidRDefault="00835358" w:rsidP="00835358">
      <w:pPr>
        <w:pStyle w:val="ALHeader2"/>
        <w:rPr>
          <w:rFonts w:ascii="Arial" w:hAnsi="Arial" w:cs="Arial"/>
        </w:rPr>
      </w:pPr>
    </w:p>
    <w:p w14:paraId="33F4D478" w14:textId="77777777" w:rsidR="00835358" w:rsidRPr="00B41883" w:rsidRDefault="00835358">
      <w:pPr>
        <w:rPr>
          <w:rFonts w:ascii="Arial" w:hAnsi="Arial" w:cs="Arial"/>
          <w:sz w:val="22"/>
          <w:szCs w:val="22"/>
        </w:rPr>
      </w:pPr>
    </w:p>
    <w:p w14:paraId="0053CBC9" w14:textId="77777777" w:rsidR="00835358" w:rsidRPr="00B41883" w:rsidRDefault="00835358">
      <w:pPr>
        <w:rPr>
          <w:rFonts w:ascii="Arial" w:hAnsi="Arial" w:cs="Arial"/>
          <w:sz w:val="22"/>
          <w:szCs w:val="22"/>
        </w:rPr>
      </w:pPr>
    </w:p>
    <w:p w14:paraId="216BC49D" w14:textId="77777777" w:rsidR="00835358" w:rsidRPr="00B41883" w:rsidRDefault="00835358">
      <w:pPr>
        <w:rPr>
          <w:rFonts w:ascii="Arial" w:hAnsi="Arial" w:cs="Arial"/>
          <w:sz w:val="22"/>
          <w:szCs w:val="22"/>
        </w:rPr>
      </w:pPr>
    </w:p>
    <w:p w14:paraId="6466C488" w14:textId="77777777" w:rsidR="00835358" w:rsidRPr="00B41883" w:rsidRDefault="00835358">
      <w:pPr>
        <w:rPr>
          <w:rFonts w:ascii="Arial" w:hAnsi="Arial" w:cs="Arial"/>
          <w:sz w:val="22"/>
          <w:szCs w:val="22"/>
        </w:rPr>
      </w:pPr>
    </w:p>
    <w:p w14:paraId="6235C33E" w14:textId="77777777" w:rsidR="00756250" w:rsidRPr="00B41883" w:rsidRDefault="003E2CE5">
      <w:pPr>
        <w:rPr>
          <w:rFonts w:ascii="Arial" w:hAnsi="Arial" w:cs="Arial"/>
          <w:b/>
          <w:bCs/>
          <w:sz w:val="22"/>
          <w:szCs w:val="22"/>
        </w:rPr>
        <w:sectPr w:rsidR="00756250" w:rsidRPr="00B41883" w:rsidSect="006026C7">
          <w:footerReference w:type="even" r:id="rId6"/>
          <w:footerReference w:type="default" r:id="rId7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B41883">
        <w:rPr>
          <w:rFonts w:ascii="Arial" w:hAnsi="Arial" w:cs="Arial"/>
          <w:b/>
          <w:bCs/>
          <w:sz w:val="22"/>
          <w:szCs w:val="22"/>
        </w:rPr>
        <w:br w:type="page"/>
      </w:r>
    </w:p>
    <w:p w14:paraId="2B762C1D" w14:textId="007DE9C3" w:rsidR="003E2CE5" w:rsidRPr="00B41883" w:rsidRDefault="003E2CE5" w:rsidP="003E2CE5">
      <w:pPr>
        <w:pStyle w:val="ALHeader1"/>
        <w:rPr>
          <w:rFonts w:ascii="Arial" w:hAnsi="Arial" w:cs="Arial"/>
        </w:rPr>
      </w:pPr>
      <w:r w:rsidRPr="00B41883">
        <w:rPr>
          <w:rFonts w:ascii="Arial" w:hAnsi="Arial" w:cs="Arial"/>
        </w:rPr>
        <w:lastRenderedPageBreak/>
        <w:t>SUPPLEMENTAL FIGURES</w:t>
      </w:r>
    </w:p>
    <w:p w14:paraId="6081CA81" w14:textId="77777777" w:rsidR="003E2CE5" w:rsidRPr="00B41883" w:rsidRDefault="003E2CE5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56"/>
      </w:tblGrid>
      <w:tr w:rsidR="00384D5F" w:rsidRPr="00B41883" w14:paraId="1AA2EE53" w14:textId="77777777" w:rsidTr="00B41883">
        <w:tc>
          <w:tcPr>
            <w:tcW w:w="12950" w:type="dxa"/>
          </w:tcPr>
          <w:p w14:paraId="3C977CFE" w14:textId="7D3F75AE" w:rsidR="00384D5F" w:rsidRPr="00B41883" w:rsidRDefault="00384D5F" w:rsidP="00384D5F">
            <w:pPr>
              <w:pStyle w:val="ALHeader2"/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</w:rPr>
              <w:t>Figure S1. Clustering of individuals based on SNP profiles</w:t>
            </w:r>
            <w:r w:rsidR="0057751F" w:rsidRPr="00B41883">
              <w:rPr>
                <w:rFonts w:ascii="Arial" w:hAnsi="Arial" w:cs="Arial"/>
              </w:rPr>
              <w:t>.</w:t>
            </w:r>
          </w:p>
        </w:tc>
      </w:tr>
      <w:tr w:rsidR="00384D5F" w:rsidRPr="00B41883" w14:paraId="76F5A64F" w14:textId="77777777" w:rsidTr="00B41883">
        <w:tc>
          <w:tcPr>
            <w:tcW w:w="12950" w:type="dxa"/>
          </w:tcPr>
          <w:p w14:paraId="779DACA8" w14:textId="5636DEE0" w:rsidR="00384D5F" w:rsidRPr="00B41883" w:rsidRDefault="00384D5F" w:rsidP="00123D3E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12111005" wp14:editId="07C835B8">
                  <wp:extent cx="8087710" cy="3330996"/>
                  <wp:effectExtent l="0" t="0" r="2540" b="0"/>
                  <wp:docPr id="2045248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2482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8436" cy="333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D5F" w:rsidRPr="00B41883" w14:paraId="3DB19753" w14:textId="77777777" w:rsidTr="00B41883">
        <w:tc>
          <w:tcPr>
            <w:tcW w:w="12950" w:type="dxa"/>
          </w:tcPr>
          <w:p w14:paraId="7A9B9BCF" w14:textId="3E02FD4E" w:rsidR="00CE0470" w:rsidRPr="002143E6" w:rsidRDefault="000E6CE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p</w:t>
            </w:r>
            <w:r w:rsidR="0014411A" w:rsidRPr="00B41883">
              <w:rPr>
                <w:rFonts w:ascii="Arial" w:hAnsi="Arial" w:cs="Arial"/>
                <w:sz w:val="22"/>
                <w:szCs w:val="22"/>
              </w:rPr>
              <w:t xml:space="preserve">lots </w:t>
            </w:r>
            <w:r w:rsidR="00CE0470" w:rsidRPr="00B41883">
              <w:rPr>
                <w:rFonts w:ascii="Arial" w:hAnsi="Arial" w:cs="Arial"/>
                <w:sz w:val="22"/>
                <w:szCs w:val="22"/>
              </w:rPr>
              <w:t xml:space="preserve">show </w:t>
            </w:r>
            <w:r w:rsidR="0014411A" w:rsidRPr="00B41883">
              <w:rPr>
                <w:rFonts w:ascii="Arial" w:hAnsi="Arial" w:cs="Arial"/>
                <w:sz w:val="22"/>
                <w:szCs w:val="22"/>
              </w:rPr>
              <w:t>the two first principal components (PC) of SNP profile</w:t>
            </w:r>
            <w:r>
              <w:rPr>
                <w:rFonts w:ascii="Arial" w:hAnsi="Arial" w:cs="Arial"/>
                <w:sz w:val="22"/>
                <w:szCs w:val="22"/>
              </w:rPr>
              <w:t xml:space="preserve">s for each sample, noted as </w:t>
            </w:r>
            <w:proofErr w:type="spellStart"/>
            <w:r w:rsidR="00BB5CFC">
              <w:rPr>
                <w:rFonts w:ascii="Arial" w:hAnsi="Arial" w:cs="Arial"/>
                <w:sz w:val="22"/>
                <w:szCs w:val="22"/>
              </w:rPr>
              <w:t>s</w:t>
            </w:r>
            <w:r>
              <w:rPr>
                <w:rFonts w:ascii="Arial" w:hAnsi="Arial" w:cs="Arial"/>
                <w:sz w:val="22"/>
                <w:szCs w:val="22"/>
              </w:rPr>
              <w:t>ampleID_array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. </w:t>
            </w:r>
          </w:p>
          <w:p w14:paraId="761A1D80" w14:textId="37860D24" w:rsidR="00CE0470" w:rsidRPr="002143E6" w:rsidRDefault="0014411A">
            <w:pPr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b/>
                <w:bCs/>
                <w:sz w:val="22"/>
                <w:szCs w:val="22"/>
              </w:rPr>
              <w:t>A)</w:t>
            </w:r>
            <w:r w:rsidRPr="00B41883">
              <w:rPr>
                <w:rFonts w:ascii="Arial" w:hAnsi="Arial" w:cs="Arial"/>
                <w:sz w:val="22"/>
                <w:szCs w:val="22"/>
              </w:rPr>
              <w:t xml:space="preserve"> PCs estimates from the 57 SNPs present on all three arrays show discrepancies for the EPICv2 samples (blue) compared to the 450K (red) and EPICv1 (green) samples. </w:t>
            </w:r>
          </w:p>
          <w:p w14:paraId="48FA1983" w14:textId="6CB4FB50" w:rsidR="00384D5F" w:rsidRPr="00B41883" w:rsidRDefault="0014411A">
            <w:pPr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B) </w:t>
            </w:r>
            <w:r w:rsidRPr="00B41883">
              <w:rPr>
                <w:rFonts w:ascii="Arial" w:hAnsi="Arial" w:cs="Arial"/>
                <w:sz w:val="22"/>
                <w:szCs w:val="22"/>
              </w:rPr>
              <w:t xml:space="preserve">After removing SNP probes with poor quality metrics, the EPICv2 samples cluster perfectly with their 450K and EPICv1 counterparts. </w:t>
            </w:r>
          </w:p>
        </w:tc>
      </w:tr>
    </w:tbl>
    <w:p w14:paraId="550B9DB3" w14:textId="77777777" w:rsidR="00384D5F" w:rsidRPr="00B41883" w:rsidRDefault="00384D5F">
      <w:pPr>
        <w:rPr>
          <w:rFonts w:ascii="Arial" w:hAnsi="Arial" w:cs="Arial"/>
          <w:sz w:val="22"/>
          <w:szCs w:val="22"/>
        </w:rPr>
      </w:pPr>
    </w:p>
    <w:p w14:paraId="586054BC" w14:textId="77777777" w:rsidR="00384D5F" w:rsidRPr="00B41883" w:rsidRDefault="00384D5F">
      <w:pPr>
        <w:rPr>
          <w:rFonts w:ascii="Arial" w:hAnsi="Arial" w:cs="Arial"/>
          <w:sz w:val="22"/>
          <w:szCs w:val="22"/>
        </w:rPr>
      </w:pPr>
    </w:p>
    <w:p w14:paraId="0C4888F6" w14:textId="2CA3314F" w:rsidR="00810671" w:rsidRDefault="00DE5F08">
      <w:pPr>
        <w:rPr>
          <w:rFonts w:ascii="Arial" w:hAnsi="Arial" w:cs="Arial"/>
          <w:sz w:val="22"/>
          <w:szCs w:val="22"/>
        </w:rPr>
      </w:pPr>
      <w:r w:rsidRPr="00B41883">
        <w:rPr>
          <w:rFonts w:ascii="Arial" w:hAnsi="Arial" w:cs="Arial"/>
          <w:sz w:val="22"/>
          <w:szCs w:val="22"/>
        </w:rPr>
        <w:br w:type="page"/>
      </w:r>
    </w:p>
    <w:p w14:paraId="585CD23B" w14:textId="65187665" w:rsidR="0030698A" w:rsidRDefault="0030698A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50"/>
      </w:tblGrid>
      <w:tr w:rsidR="0030698A" w14:paraId="09A3408F" w14:textId="77777777" w:rsidTr="0030698A">
        <w:tc>
          <w:tcPr>
            <w:tcW w:w="12950" w:type="dxa"/>
          </w:tcPr>
          <w:p w14:paraId="1B6EEDBE" w14:textId="6F6CD3A4" w:rsidR="0030698A" w:rsidRPr="0030698A" w:rsidRDefault="0030698A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30698A">
              <w:rPr>
                <w:rFonts w:ascii="Arial" w:hAnsi="Arial" w:cs="Arial"/>
                <w:b/>
                <w:bCs/>
                <w:sz w:val="22"/>
                <w:szCs w:val="22"/>
              </w:rPr>
              <w:t>Figure S2.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Density plot of mean DNA methylation levels across arrays</w:t>
            </w:r>
          </w:p>
        </w:tc>
      </w:tr>
      <w:tr w:rsidR="0030698A" w14:paraId="5FD638C2" w14:textId="77777777" w:rsidTr="0030698A">
        <w:tc>
          <w:tcPr>
            <w:tcW w:w="12950" w:type="dxa"/>
          </w:tcPr>
          <w:p w14:paraId="56F06818" w14:textId="18FBD622" w:rsidR="0030698A" w:rsidRDefault="0030698A" w:rsidP="0030698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30698A"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1052A75A" wp14:editId="5588F28F">
                  <wp:extent cx="7892321" cy="4634912"/>
                  <wp:effectExtent l="0" t="0" r="0" b="635"/>
                  <wp:docPr id="1929705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70515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3497" cy="464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98A" w14:paraId="635B2CC6" w14:textId="77777777" w:rsidTr="0030698A">
        <w:tc>
          <w:tcPr>
            <w:tcW w:w="12950" w:type="dxa"/>
          </w:tcPr>
          <w:p w14:paraId="384C54BA" w14:textId="29291D1B" w:rsidR="0030698A" w:rsidRDefault="00C43AA4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Density plots of the mean DNA methylation levels for CpGs present on the different arrays. Dotted lines show the CpGs that were present across all three arrays. </w:t>
            </w:r>
          </w:p>
        </w:tc>
      </w:tr>
    </w:tbl>
    <w:p w14:paraId="44738CB3" w14:textId="1FE98712" w:rsidR="0030698A" w:rsidRDefault="0030698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50"/>
      </w:tblGrid>
      <w:tr w:rsidR="00022F8E" w14:paraId="6F88F653" w14:textId="77777777" w:rsidTr="00022F8E">
        <w:tc>
          <w:tcPr>
            <w:tcW w:w="12950" w:type="dxa"/>
          </w:tcPr>
          <w:p w14:paraId="1320E1F4" w14:textId="58160178" w:rsidR="00022F8E" w:rsidRPr="00022F8E" w:rsidRDefault="00022F8E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22F8E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 xml:space="preserve">Figure S3. Zoom-in of the CpG-level standard deviations </w:t>
            </w:r>
          </w:p>
        </w:tc>
      </w:tr>
      <w:tr w:rsidR="00022F8E" w14:paraId="72000352" w14:textId="77777777" w:rsidTr="00022F8E">
        <w:tc>
          <w:tcPr>
            <w:tcW w:w="12950" w:type="dxa"/>
          </w:tcPr>
          <w:p w14:paraId="745EC031" w14:textId="6214F801" w:rsidR="00022F8E" w:rsidRDefault="00022F8E">
            <w:pPr>
              <w:rPr>
                <w:rFonts w:ascii="Arial" w:hAnsi="Arial" w:cs="Arial"/>
                <w:sz w:val="22"/>
                <w:szCs w:val="22"/>
              </w:rPr>
            </w:pPr>
            <w:r w:rsidRPr="00022F8E"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597B3A4B" wp14:editId="3FA76E05">
                  <wp:extent cx="7898859" cy="4638751"/>
                  <wp:effectExtent l="0" t="0" r="635" b="0"/>
                  <wp:docPr id="2130539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5390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3331" cy="4641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F8E" w14:paraId="7377D8C7" w14:textId="77777777" w:rsidTr="00022F8E">
        <w:tc>
          <w:tcPr>
            <w:tcW w:w="12950" w:type="dxa"/>
          </w:tcPr>
          <w:p w14:paraId="058C53CF" w14:textId="2CB50B7A" w:rsidR="00022F8E" w:rsidRDefault="00BA6938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sz w:val="22"/>
                <w:szCs w:val="22"/>
              </w:rPr>
              <w:t>Standard deviation (SD) of DNA methylation levels across CpGs for probes present on all three arrays. For each color set, the CpGs present on a given array are shown in the darker shade, while the CpGs present on all three arrays, dubbed overlapping, are shown in the lighter shade. This figure has been zoomed-in from Figure 1B to show CpGs with a SD below 5% of DNA methylation to provide a better representation of the marginal differences between arrays (</w:t>
            </w:r>
            <w:r w:rsidRPr="00BA6938">
              <w:rPr>
                <w:sz w:val="22"/>
                <w:szCs w:val="22"/>
              </w:rPr>
              <w:t>450K median SD=1.42</w:t>
            </w:r>
            <w:r>
              <w:rPr>
                <w:sz w:val="22"/>
                <w:szCs w:val="22"/>
              </w:rPr>
              <w:t xml:space="preserve">; </w:t>
            </w:r>
            <w:r w:rsidRPr="00BA6938">
              <w:rPr>
                <w:sz w:val="22"/>
                <w:szCs w:val="22"/>
              </w:rPr>
              <w:t>EPICv1 median SD=1.59</w:t>
            </w:r>
            <w:r>
              <w:rPr>
                <w:sz w:val="22"/>
                <w:szCs w:val="22"/>
              </w:rPr>
              <w:t xml:space="preserve">; </w:t>
            </w:r>
            <w:r w:rsidRPr="00BA6938">
              <w:rPr>
                <w:sz w:val="22"/>
                <w:szCs w:val="22"/>
              </w:rPr>
              <w:t>median SD=1.69</w:t>
            </w:r>
            <w:r>
              <w:rPr>
                <w:sz w:val="22"/>
                <w:szCs w:val="22"/>
              </w:rPr>
              <w:t>)</w:t>
            </w:r>
            <w:r w:rsidR="00F42F74">
              <w:rPr>
                <w:sz w:val="22"/>
                <w:szCs w:val="22"/>
              </w:rPr>
              <w:t>.</w:t>
            </w:r>
          </w:p>
        </w:tc>
      </w:tr>
    </w:tbl>
    <w:p w14:paraId="00F8E4E8" w14:textId="0949C460" w:rsidR="00022F8E" w:rsidRDefault="00022F8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50"/>
      </w:tblGrid>
      <w:tr w:rsidR="00810671" w:rsidRPr="00B41883" w14:paraId="7E6AA21D" w14:textId="77777777" w:rsidTr="00B41883">
        <w:tc>
          <w:tcPr>
            <w:tcW w:w="12950" w:type="dxa"/>
          </w:tcPr>
          <w:p w14:paraId="4B686154" w14:textId="4F2CF56D" w:rsidR="00810671" w:rsidRPr="00B41883" w:rsidRDefault="00810671" w:rsidP="0030557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B41883">
              <w:rPr>
                <w:rFonts w:ascii="Arial" w:hAnsi="Arial" w:cs="Arial"/>
                <w:b/>
                <w:bCs/>
              </w:rPr>
              <w:lastRenderedPageBreak/>
              <w:t xml:space="preserve">Figure </w:t>
            </w:r>
            <w:r w:rsidR="00151732" w:rsidRPr="00B41883">
              <w:rPr>
                <w:rFonts w:ascii="Arial" w:hAnsi="Arial" w:cs="Arial"/>
                <w:b/>
                <w:bCs/>
              </w:rPr>
              <w:t>S</w:t>
            </w:r>
            <w:r w:rsidR="00022F8E">
              <w:rPr>
                <w:rFonts w:ascii="Arial" w:hAnsi="Arial" w:cs="Arial"/>
                <w:b/>
                <w:bCs/>
              </w:rPr>
              <w:t>4</w:t>
            </w:r>
            <w:r w:rsidRPr="00B41883">
              <w:rPr>
                <w:rFonts w:ascii="Arial" w:hAnsi="Arial" w:cs="Arial"/>
                <w:b/>
                <w:bCs/>
              </w:rPr>
              <w:t xml:space="preserve">. </w:t>
            </w:r>
            <w:r w:rsidR="00EE30EB" w:rsidRPr="00B41883">
              <w:rPr>
                <w:rFonts w:ascii="Arial" w:hAnsi="Arial" w:cs="Arial"/>
                <w:b/>
                <w:bCs/>
              </w:rPr>
              <w:t>Annotation of CpGs from the array-level EWAS of sex differences.</w:t>
            </w:r>
          </w:p>
        </w:tc>
      </w:tr>
      <w:tr w:rsidR="00810671" w:rsidRPr="00B41883" w14:paraId="5A35CCB9" w14:textId="77777777" w:rsidTr="00B41883">
        <w:tc>
          <w:tcPr>
            <w:tcW w:w="12950" w:type="dxa"/>
            <w:vAlign w:val="center"/>
          </w:tcPr>
          <w:p w14:paraId="5BDA2121" w14:textId="0139CDCF" w:rsidR="00810671" w:rsidRPr="00B41883" w:rsidRDefault="00766D4A" w:rsidP="00766D4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noProof/>
                <w:sz w:val="22"/>
                <w:szCs w:val="22"/>
              </w:rPr>
              <w:drawing>
                <wp:anchor distT="0" distB="0" distL="114300" distR="114300" simplePos="0" relativeHeight="251658240" behindDoc="0" locked="0" layoutInCell="1" allowOverlap="1" wp14:anchorId="5804C3A4" wp14:editId="5A4D1E10">
                  <wp:simplePos x="0" y="0"/>
                  <wp:positionH relativeFrom="column">
                    <wp:posOffset>6851650</wp:posOffset>
                  </wp:positionH>
                  <wp:positionV relativeFrom="paragraph">
                    <wp:posOffset>2190750</wp:posOffset>
                  </wp:positionV>
                  <wp:extent cx="946785" cy="982980"/>
                  <wp:effectExtent l="0" t="0" r="5715" b="0"/>
                  <wp:wrapNone/>
                  <wp:docPr id="486320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320328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785" cy="98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7278B" w:rsidRPr="0087278B">
              <w:rPr>
                <w:rFonts w:ascii="Arial" w:hAnsi="Arial" w:cs="Arial"/>
                <w:sz w:val="22"/>
                <w:szCs w:val="22"/>
              </w:rPr>
              <w:drawing>
                <wp:inline distT="0" distB="0" distL="0" distR="0" wp14:anchorId="21992218" wp14:editId="3B121CC6">
                  <wp:extent cx="5522614" cy="5018609"/>
                  <wp:effectExtent l="0" t="0" r="1905" b="0"/>
                  <wp:docPr id="16644028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40283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599" cy="5059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869" w:rsidRPr="00B41883" w14:paraId="3FCD41A4" w14:textId="77777777" w:rsidTr="00B41883">
        <w:tc>
          <w:tcPr>
            <w:tcW w:w="12950" w:type="dxa"/>
          </w:tcPr>
          <w:p w14:paraId="5CFBB7F6" w14:textId="288E3547" w:rsidR="00B41869" w:rsidRPr="00B41883" w:rsidRDefault="00B41869" w:rsidP="00B41869">
            <w:pPr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sz w:val="22"/>
                <w:szCs w:val="22"/>
              </w:rPr>
              <w:t xml:space="preserve">Primary characteristics of the CpGs </w:t>
            </w:r>
            <w:r w:rsidR="00D543FB">
              <w:rPr>
                <w:rFonts w:ascii="Arial" w:hAnsi="Arial" w:cs="Arial"/>
                <w:sz w:val="22"/>
                <w:szCs w:val="22"/>
              </w:rPr>
              <w:t>meeting</w:t>
            </w:r>
            <w:r w:rsidRPr="00B41883">
              <w:rPr>
                <w:rFonts w:ascii="Arial" w:hAnsi="Arial" w:cs="Arial"/>
                <w:sz w:val="22"/>
                <w:szCs w:val="22"/>
              </w:rPr>
              <w:t xml:space="preserve"> a p&lt;1x10</w:t>
            </w:r>
            <w:r w:rsidRPr="00B41883">
              <w:rPr>
                <w:rFonts w:ascii="Arial" w:hAnsi="Arial" w:cs="Arial"/>
                <w:sz w:val="22"/>
                <w:szCs w:val="22"/>
                <w:vertAlign w:val="superscript"/>
              </w:rPr>
              <w:t>-8</w:t>
            </w:r>
            <w:r w:rsidRPr="00B41883">
              <w:rPr>
                <w:rFonts w:ascii="Arial" w:hAnsi="Arial" w:cs="Arial"/>
                <w:sz w:val="22"/>
                <w:szCs w:val="22"/>
              </w:rPr>
              <w:t xml:space="preserve"> threshold in the epigenome-wide association studies (EWAS) of sex differences. We show CpGs that were replicated across all three arrays (“Replicated”; 3,530 CpGs), as well as the CpGs associated with sex on specific arrays only (450K = 17 CpGs; EPICv1 = </w:t>
            </w:r>
            <w:r w:rsidR="00ED786E" w:rsidRPr="00B41883">
              <w:rPr>
                <w:rFonts w:ascii="Arial" w:hAnsi="Arial" w:cs="Arial"/>
                <w:sz w:val="22"/>
                <w:szCs w:val="22"/>
              </w:rPr>
              <w:t>390</w:t>
            </w:r>
            <w:r w:rsidRPr="00B41883">
              <w:rPr>
                <w:rFonts w:ascii="Arial" w:hAnsi="Arial" w:cs="Arial"/>
                <w:sz w:val="22"/>
                <w:szCs w:val="22"/>
              </w:rPr>
              <w:t xml:space="preserve"> CpGs</w:t>
            </w:r>
            <w:r w:rsidR="00ED786E" w:rsidRPr="00B41883">
              <w:rPr>
                <w:rFonts w:ascii="Arial" w:hAnsi="Arial" w:cs="Arial"/>
                <w:sz w:val="22"/>
                <w:szCs w:val="22"/>
              </w:rPr>
              <w:t>; EPICv2 = 152 CpGs</w:t>
            </w:r>
            <w:r w:rsidRPr="00B41883">
              <w:rPr>
                <w:rFonts w:ascii="Arial" w:hAnsi="Arial" w:cs="Arial"/>
                <w:sz w:val="22"/>
                <w:szCs w:val="22"/>
              </w:rPr>
              <w:t>)</w:t>
            </w:r>
            <w:r w:rsidR="00ED786E" w:rsidRPr="00B41883">
              <w:rPr>
                <w:rFonts w:ascii="Arial" w:hAnsi="Arial" w:cs="Arial"/>
                <w:sz w:val="22"/>
                <w:szCs w:val="22"/>
              </w:rPr>
              <w:t>.</w:t>
            </w:r>
            <w:r w:rsidRPr="00B41883">
              <w:rPr>
                <w:rFonts w:ascii="Arial" w:hAnsi="Arial" w:cs="Arial"/>
                <w:sz w:val="22"/>
                <w:szCs w:val="22"/>
              </w:rPr>
              <w:t xml:space="preserve"> Colors represent the values on each of the three arrays (450K = purple; EPICv1 = green; EPICv2 = yellow).</w:t>
            </w:r>
          </w:p>
        </w:tc>
      </w:tr>
    </w:tbl>
    <w:p w14:paraId="1EB4EDEA" w14:textId="77777777" w:rsidR="003E2CE5" w:rsidRPr="00B41883" w:rsidRDefault="003E2CE5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50"/>
      </w:tblGrid>
      <w:tr w:rsidR="00DE5F08" w:rsidRPr="00B41883" w14:paraId="34C9947D" w14:textId="77777777" w:rsidTr="00B41883">
        <w:tc>
          <w:tcPr>
            <w:tcW w:w="12950" w:type="dxa"/>
          </w:tcPr>
          <w:p w14:paraId="1170F091" w14:textId="04A7F490" w:rsidR="00DE5F08" w:rsidRPr="00B41883" w:rsidRDefault="00DE5F08" w:rsidP="00DE5F08">
            <w:pPr>
              <w:pStyle w:val="ALHeader2"/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</w:rPr>
              <w:t>Figure S</w:t>
            </w:r>
            <w:r w:rsidR="00022F8E">
              <w:rPr>
                <w:rFonts w:ascii="Arial" w:hAnsi="Arial" w:cs="Arial"/>
              </w:rPr>
              <w:t>5</w:t>
            </w:r>
            <w:r w:rsidRPr="00B41883">
              <w:rPr>
                <w:rFonts w:ascii="Arial" w:hAnsi="Arial" w:cs="Arial"/>
              </w:rPr>
              <w:t xml:space="preserve">. Weighting of missing CpGs across arrays and epigenetic clocks. </w:t>
            </w:r>
          </w:p>
        </w:tc>
      </w:tr>
      <w:tr w:rsidR="002562D0" w:rsidRPr="00B41883" w14:paraId="52822899" w14:textId="77777777" w:rsidTr="00B41883">
        <w:tc>
          <w:tcPr>
            <w:tcW w:w="12950" w:type="dxa"/>
          </w:tcPr>
          <w:p w14:paraId="34524086" w14:textId="2A6A04A4" w:rsidR="002562D0" w:rsidRPr="00B41883" w:rsidRDefault="00DE5F08" w:rsidP="006D665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4040BF66" wp14:editId="09B791EC">
                  <wp:extent cx="6999514" cy="4340670"/>
                  <wp:effectExtent l="0" t="0" r="0" b="3175"/>
                  <wp:docPr id="6" name="Picture 5" descr="A graph of a clock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69C9ED0-58C9-431E-A740-384258DCC7C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 descr="A graph of a clock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769C9ED0-58C9-431E-A740-384258DCC7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76"/>
                          <a:stretch/>
                        </pic:blipFill>
                        <pic:spPr>
                          <a:xfrm>
                            <a:off x="0" y="0"/>
                            <a:ext cx="7021298" cy="4354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F08" w:rsidRPr="00B41883" w14:paraId="00E396F1" w14:textId="77777777" w:rsidTr="00B41883">
        <w:tc>
          <w:tcPr>
            <w:tcW w:w="12950" w:type="dxa"/>
          </w:tcPr>
          <w:p w14:paraId="665C6034" w14:textId="461E5D61" w:rsidR="00DE5F08" w:rsidRPr="00B41883" w:rsidRDefault="00DE5F08" w:rsidP="00DE5F08">
            <w:pPr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sz w:val="22"/>
                <w:szCs w:val="22"/>
              </w:rPr>
              <w:t xml:space="preserve">For each clock, we extracted the set of CpG sites along with their corresponding weights </w:t>
            </w:r>
            <w:r w:rsidR="00622962" w:rsidRPr="00B41883">
              <w:rPr>
                <w:rFonts w:ascii="Arial" w:hAnsi="Arial" w:cs="Arial"/>
                <w:sz w:val="22"/>
                <w:szCs w:val="22"/>
              </w:rPr>
              <w:t>from</w:t>
            </w:r>
            <w:r w:rsidRPr="00B41883">
              <w:rPr>
                <w:rFonts w:ascii="Arial" w:hAnsi="Arial" w:cs="Arial"/>
                <w:sz w:val="22"/>
                <w:szCs w:val="22"/>
              </w:rPr>
              <w:t xml:space="preserve"> the </w:t>
            </w:r>
            <w:r w:rsidR="00622962" w:rsidRPr="00B41883">
              <w:rPr>
                <w:rFonts w:ascii="Arial" w:hAnsi="Arial" w:cs="Arial"/>
                <w:sz w:val="22"/>
                <w:szCs w:val="22"/>
              </w:rPr>
              <w:t xml:space="preserve">different </w:t>
            </w:r>
            <w:r w:rsidRPr="00B41883">
              <w:rPr>
                <w:rFonts w:ascii="Arial" w:hAnsi="Arial" w:cs="Arial"/>
                <w:sz w:val="22"/>
                <w:szCs w:val="22"/>
              </w:rPr>
              <w:t>epigenetic age algorithm</w:t>
            </w:r>
            <w:r w:rsidR="00622962" w:rsidRPr="00B41883">
              <w:rPr>
                <w:rFonts w:ascii="Arial" w:hAnsi="Arial" w:cs="Arial"/>
                <w:sz w:val="22"/>
                <w:szCs w:val="22"/>
              </w:rPr>
              <w:t>s</w:t>
            </w:r>
            <w:r w:rsidRPr="00B41883">
              <w:rPr>
                <w:rFonts w:ascii="Arial" w:hAnsi="Arial" w:cs="Arial"/>
                <w:sz w:val="22"/>
                <w:szCs w:val="22"/>
              </w:rPr>
              <w:t xml:space="preserve">. Most epigenetic clocks compute epigenetic age through a one-step approach, involving the weighting of DNA methylation levels across a set of CpG sites. By contrast, the </w:t>
            </w:r>
            <w:proofErr w:type="spellStart"/>
            <w:r w:rsidRPr="00B41883">
              <w:rPr>
                <w:rFonts w:ascii="Arial" w:hAnsi="Arial" w:cs="Arial"/>
                <w:sz w:val="22"/>
                <w:szCs w:val="22"/>
              </w:rPr>
              <w:t>GrimAge</w:t>
            </w:r>
            <w:proofErr w:type="spellEnd"/>
            <w:r w:rsidRPr="00B41883">
              <w:rPr>
                <w:rFonts w:ascii="Arial" w:hAnsi="Arial" w:cs="Arial"/>
                <w:sz w:val="22"/>
                <w:szCs w:val="22"/>
              </w:rPr>
              <w:t xml:space="preserve"> clocks apply a two-step approach, generating a series of estimates based on a set of weighted CpG sites that are subsequently weighted again to form a singular epigenetic age measure. For comparison of the weights of absent CpG sites between one- and two-step approaches, we normalized </w:t>
            </w:r>
            <w:proofErr w:type="spellStart"/>
            <w:r w:rsidRPr="00B41883">
              <w:rPr>
                <w:rFonts w:ascii="Arial" w:hAnsi="Arial" w:cs="Arial"/>
                <w:sz w:val="22"/>
                <w:szCs w:val="22"/>
              </w:rPr>
              <w:t>GrimAge</w:t>
            </w:r>
            <w:proofErr w:type="spellEnd"/>
            <w:r w:rsidRPr="00B41883">
              <w:rPr>
                <w:rFonts w:ascii="Arial" w:hAnsi="Arial" w:cs="Arial"/>
                <w:sz w:val="22"/>
                <w:szCs w:val="22"/>
              </w:rPr>
              <w:t xml:space="preserve"> CpG weights by multiplying the absolute values of first step and second step weights for each CpG site.</w:t>
            </w:r>
          </w:p>
        </w:tc>
      </w:tr>
    </w:tbl>
    <w:p w14:paraId="64584310" w14:textId="77777777" w:rsidR="001B42CD" w:rsidRPr="00B41883" w:rsidRDefault="001B42CD">
      <w:pPr>
        <w:rPr>
          <w:rFonts w:ascii="Arial" w:hAnsi="Arial" w:cs="Arial"/>
          <w:sz w:val="22"/>
          <w:szCs w:val="22"/>
        </w:rPr>
      </w:pPr>
    </w:p>
    <w:p w14:paraId="246E2397" w14:textId="77777777" w:rsidR="001B42CD" w:rsidRPr="00B41883" w:rsidRDefault="001B42CD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60"/>
      </w:tblGrid>
      <w:tr w:rsidR="002562D0" w:rsidRPr="00B41883" w14:paraId="4CC77A8B" w14:textId="77777777" w:rsidTr="00B41883">
        <w:tc>
          <w:tcPr>
            <w:tcW w:w="12950" w:type="dxa"/>
          </w:tcPr>
          <w:p w14:paraId="3F161243" w14:textId="42A0F9BC" w:rsidR="002562D0" w:rsidRPr="00B41883" w:rsidRDefault="002562D0" w:rsidP="002562D0">
            <w:pPr>
              <w:pStyle w:val="ALHeader2"/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</w:rPr>
              <w:t>Figure S</w:t>
            </w:r>
            <w:r w:rsidR="00022F8E">
              <w:rPr>
                <w:rFonts w:ascii="Arial" w:hAnsi="Arial" w:cs="Arial"/>
              </w:rPr>
              <w:t>6</w:t>
            </w:r>
            <w:r w:rsidRPr="00B41883">
              <w:rPr>
                <w:rFonts w:ascii="Arial" w:hAnsi="Arial" w:cs="Arial"/>
              </w:rPr>
              <w:t>.</w:t>
            </w:r>
            <w:r w:rsidR="00E95A45" w:rsidRPr="00B41883">
              <w:rPr>
                <w:rFonts w:ascii="Arial" w:hAnsi="Arial" w:cs="Arial"/>
              </w:rPr>
              <w:t xml:space="preserve"> Concordance of epigenetic age estimates across clocks and arrays. </w:t>
            </w:r>
          </w:p>
        </w:tc>
      </w:tr>
      <w:tr w:rsidR="002562D0" w:rsidRPr="00B41883" w14:paraId="087644F4" w14:textId="77777777" w:rsidTr="00B41883">
        <w:tc>
          <w:tcPr>
            <w:tcW w:w="12950" w:type="dxa"/>
          </w:tcPr>
          <w:p w14:paraId="1BB4F70C" w14:textId="0B6BAFD7" w:rsidR="002562D0" w:rsidRPr="00B41883" w:rsidRDefault="002C45A3" w:rsidP="002562D0">
            <w:pPr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3D45822E" wp14:editId="3C2580EC">
                  <wp:extent cx="8114191" cy="4837836"/>
                  <wp:effectExtent l="0" t="0" r="1270" b="1270"/>
                  <wp:docPr id="231236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2367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3978" cy="484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2D0" w:rsidRPr="00B41883" w14:paraId="7EE49422" w14:textId="77777777" w:rsidTr="00B41883">
        <w:tc>
          <w:tcPr>
            <w:tcW w:w="12950" w:type="dxa"/>
          </w:tcPr>
          <w:p w14:paraId="3C4003F5" w14:textId="1247C4C5" w:rsidR="002562D0" w:rsidRPr="00B41883" w:rsidRDefault="00E95A45" w:rsidP="002562D0">
            <w:pPr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sz w:val="22"/>
                <w:szCs w:val="22"/>
              </w:rPr>
              <w:t>Comparison of the epigenetic age estimates for all epigenetic clocks</w:t>
            </w:r>
            <w:r w:rsidR="00343D99" w:rsidRPr="00B41883">
              <w:rPr>
                <w:rFonts w:ascii="Arial" w:hAnsi="Arial" w:cs="Arial"/>
                <w:sz w:val="22"/>
                <w:szCs w:val="22"/>
              </w:rPr>
              <w:t xml:space="preserve">. </w:t>
            </w:r>
            <w:r w:rsidR="00B826A3" w:rsidRPr="00B41883">
              <w:rPr>
                <w:rFonts w:ascii="Arial" w:hAnsi="Arial" w:cs="Arial"/>
                <w:sz w:val="22"/>
                <w:szCs w:val="22"/>
              </w:rPr>
              <w:t>Colors</w:t>
            </w:r>
            <w:r w:rsidR="00622962" w:rsidRPr="00B41883">
              <w:rPr>
                <w:rFonts w:ascii="Arial" w:hAnsi="Arial" w:cs="Arial"/>
                <w:sz w:val="22"/>
                <w:szCs w:val="22"/>
              </w:rPr>
              <w:t xml:space="preserve"> and shapes</w:t>
            </w:r>
            <w:r w:rsidR="00B826A3" w:rsidRPr="00B41883">
              <w:rPr>
                <w:rFonts w:ascii="Arial" w:hAnsi="Arial" w:cs="Arial"/>
                <w:sz w:val="22"/>
                <w:szCs w:val="22"/>
              </w:rPr>
              <w:t xml:space="preserve"> refer to the different epigenetic clocks, with P</w:t>
            </w:r>
            <w:r w:rsidR="00343D99" w:rsidRPr="00B41883">
              <w:rPr>
                <w:rFonts w:ascii="Arial" w:hAnsi="Arial" w:cs="Arial"/>
                <w:sz w:val="22"/>
                <w:szCs w:val="22"/>
              </w:rPr>
              <w:t xml:space="preserve">earson correlations shown for each array </w:t>
            </w:r>
            <w:r w:rsidR="00B826A3" w:rsidRPr="00B41883">
              <w:rPr>
                <w:rFonts w:ascii="Arial" w:hAnsi="Arial" w:cs="Arial"/>
                <w:sz w:val="22"/>
                <w:szCs w:val="22"/>
              </w:rPr>
              <w:t xml:space="preserve">comparison. </w:t>
            </w:r>
            <w:r w:rsidR="002C45A3" w:rsidRPr="00B41883">
              <w:rPr>
                <w:rFonts w:ascii="Arial" w:hAnsi="Arial" w:cs="Arial"/>
                <w:sz w:val="22"/>
                <w:szCs w:val="22"/>
              </w:rPr>
              <w:t xml:space="preserve">The mean across all clocks is also shown and highlights an overall decrease in the </w:t>
            </w:r>
            <w:r w:rsidR="002E43A9" w:rsidRPr="00B41883">
              <w:rPr>
                <w:rFonts w:ascii="Arial" w:hAnsi="Arial" w:cs="Arial"/>
                <w:sz w:val="22"/>
                <w:szCs w:val="22"/>
              </w:rPr>
              <w:t>replicability</w:t>
            </w:r>
            <w:r w:rsidR="002C45A3" w:rsidRPr="00B41883">
              <w:rPr>
                <w:rFonts w:ascii="Arial" w:hAnsi="Arial" w:cs="Arial"/>
                <w:sz w:val="22"/>
                <w:szCs w:val="22"/>
              </w:rPr>
              <w:t xml:space="preserve"> of epigenetic age estimates</w:t>
            </w:r>
            <w:r w:rsidR="004843EA" w:rsidRPr="00B41883">
              <w:rPr>
                <w:rFonts w:ascii="Arial" w:hAnsi="Arial" w:cs="Arial"/>
                <w:sz w:val="22"/>
                <w:szCs w:val="22"/>
              </w:rPr>
              <w:t xml:space="preserve"> in newer arrays</w:t>
            </w:r>
            <w:r w:rsidR="002C45A3" w:rsidRPr="00B41883">
              <w:rPr>
                <w:rFonts w:ascii="Arial" w:hAnsi="Arial" w:cs="Arial"/>
                <w:sz w:val="22"/>
                <w:szCs w:val="22"/>
              </w:rPr>
              <w:t xml:space="preserve">.  </w:t>
            </w:r>
          </w:p>
        </w:tc>
      </w:tr>
    </w:tbl>
    <w:p w14:paraId="26AE7338" w14:textId="77777777" w:rsidR="00D74A70" w:rsidRPr="00B41883" w:rsidRDefault="00D74A70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50"/>
      </w:tblGrid>
      <w:tr w:rsidR="00D74A70" w:rsidRPr="00B41883" w14:paraId="0CA892BD" w14:textId="77777777" w:rsidTr="00B41883">
        <w:tc>
          <w:tcPr>
            <w:tcW w:w="12950" w:type="dxa"/>
          </w:tcPr>
          <w:p w14:paraId="0D86EFC2" w14:textId="7BFF42F3" w:rsidR="00D74A70" w:rsidRPr="00B41883" w:rsidRDefault="00D74A70" w:rsidP="00DA0C38">
            <w:pPr>
              <w:pStyle w:val="ALHeader2"/>
              <w:rPr>
                <w:rFonts w:ascii="Arial" w:hAnsi="Arial" w:cs="Arial"/>
              </w:rPr>
            </w:pPr>
            <w:r w:rsidRPr="00B41883">
              <w:rPr>
                <w:rFonts w:ascii="Arial" w:hAnsi="Arial" w:cs="Arial"/>
              </w:rPr>
              <w:t>Figure S</w:t>
            </w:r>
            <w:r w:rsidR="00022F8E">
              <w:rPr>
                <w:rFonts w:ascii="Arial" w:hAnsi="Arial" w:cs="Arial"/>
              </w:rPr>
              <w:t>7</w:t>
            </w:r>
            <w:r w:rsidRPr="00B41883">
              <w:rPr>
                <w:rFonts w:ascii="Arial" w:hAnsi="Arial" w:cs="Arial"/>
              </w:rPr>
              <w:t xml:space="preserve">. </w:t>
            </w:r>
            <w:proofErr w:type="spellStart"/>
            <w:r w:rsidRPr="00B41883">
              <w:rPr>
                <w:rFonts w:ascii="Arial" w:hAnsi="Arial" w:cs="Arial"/>
              </w:rPr>
              <w:t>DunedinPACE</w:t>
            </w:r>
            <w:proofErr w:type="spellEnd"/>
            <w:r w:rsidRPr="00B41883">
              <w:rPr>
                <w:rFonts w:ascii="Arial" w:hAnsi="Arial" w:cs="Arial"/>
              </w:rPr>
              <w:t xml:space="preserve"> epigenetic age estimation across arrays. </w:t>
            </w:r>
          </w:p>
        </w:tc>
      </w:tr>
      <w:tr w:rsidR="00D74A70" w:rsidRPr="00B41883" w14:paraId="60587386" w14:textId="77777777" w:rsidTr="00B41883">
        <w:tc>
          <w:tcPr>
            <w:tcW w:w="12950" w:type="dxa"/>
          </w:tcPr>
          <w:p w14:paraId="3A12050C" w14:textId="77777777" w:rsidR="00D74A70" w:rsidRPr="00B41883" w:rsidRDefault="00D74A70" w:rsidP="00DA0C3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noProof/>
                <w:sz w:val="22"/>
                <w:szCs w:val="22"/>
              </w:rPr>
              <w:lastRenderedPageBreak/>
              <w:drawing>
                <wp:inline distT="0" distB="0" distL="0" distR="0" wp14:anchorId="56750DA9" wp14:editId="6399EB40">
                  <wp:extent cx="8064062" cy="2499486"/>
                  <wp:effectExtent l="0" t="0" r="635" b="2540"/>
                  <wp:docPr id="5" name="Picture 4" descr="A graph with black dots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A60026-F8D0-8992-C0AA-F50DDCBEBBC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 descr="A graph with black dots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0FA60026-F8D0-8992-C0AA-F50DDCBEBB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t="7596"/>
                          <a:stretch/>
                        </pic:blipFill>
                        <pic:spPr>
                          <a:xfrm>
                            <a:off x="0" y="0"/>
                            <a:ext cx="8068363" cy="250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A70" w:rsidRPr="00B41883" w14:paraId="1DDD8647" w14:textId="77777777" w:rsidTr="00B41883">
        <w:tc>
          <w:tcPr>
            <w:tcW w:w="12950" w:type="dxa"/>
          </w:tcPr>
          <w:p w14:paraId="3C54D789" w14:textId="23218932" w:rsidR="00D74A70" w:rsidRPr="00B41883" w:rsidRDefault="00BA06BF" w:rsidP="00DA0C38">
            <w:pPr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sz w:val="22"/>
                <w:szCs w:val="22"/>
              </w:rPr>
              <w:t xml:space="preserve">Comparison of epigenetic age estimates across arrays for the </w:t>
            </w:r>
            <w:proofErr w:type="spellStart"/>
            <w:r w:rsidRPr="00B41883">
              <w:rPr>
                <w:rFonts w:ascii="Arial" w:hAnsi="Arial" w:cs="Arial"/>
                <w:sz w:val="22"/>
                <w:szCs w:val="22"/>
              </w:rPr>
              <w:t>DunedinPACE</w:t>
            </w:r>
            <w:proofErr w:type="spellEnd"/>
            <w:r w:rsidRPr="00B41883">
              <w:rPr>
                <w:rFonts w:ascii="Arial" w:hAnsi="Arial" w:cs="Arial"/>
                <w:sz w:val="22"/>
                <w:szCs w:val="22"/>
              </w:rPr>
              <w:t xml:space="preserve"> clock. </w:t>
            </w:r>
            <w:r w:rsidR="005C2226" w:rsidRPr="00B41883">
              <w:rPr>
                <w:rFonts w:ascii="Arial" w:hAnsi="Arial" w:cs="Arial"/>
                <w:sz w:val="22"/>
                <w:szCs w:val="22"/>
              </w:rPr>
              <w:t xml:space="preserve">These results are shown separately from Figure S5 due to the small numbers. </w:t>
            </w:r>
          </w:p>
        </w:tc>
      </w:tr>
    </w:tbl>
    <w:p w14:paraId="512DF484" w14:textId="009A5650" w:rsidR="00890D02" w:rsidRPr="00B41883" w:rsidRDefault="00890D02">
      <w:pPr>
        <w:rPr>
          <w:rFonts w:ascii="Arial" w:hAnsi="Arial" w:cs="Arial"/>
          <w:sz w:val="22"/>
          <w:szCs w:val="22"/>
        </w:rPr>
      </w:pPr>
      <w:r w:rsidRPr="00B41883">
        <w:rPr>
          <w:rFonts w:ascii="Arial" w:hAnsi="Arial" w:cs="Arial"/>
          <w:sz w:val="22"/>
          <w:szCs w:val="22"/>
        </w:rPr>
        <w:br w:type="page"/>
      </w:r>
    </w:p>
    <w:p w14:paraId="4EF727B3" w14:textId="77777777" w:rsidR="00151A5D" w:rsidRPr="00B41883" w:rsidRDefault="00151A5D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24"/>
      </w:tblGrid>
      <w:tr w:rsidR="003E2CE5" w:rsidRPr="00B41883" w14:paraId="61D24973" w14:textId="77777777" w:rsidTr="00B41883">
        <w:tc>
          <w:tcPr>
            <w:tcW w:w="12895" w:type="dxa"/>
          </w:tcPr>
          <w:p w14:paraId="7C79A595" w14:textId="5C3ED3AC" w:rsidR="003E2CE5" w:rsidRPr="00B41883" w:rsidRDefault="00151A5D" w:rsidP="00AB60D6">
            <w:pPr>
              <w:pStyle w:val="ALHeader2"/>
              <w:rPr>
                <w:rFonts w:ascii="Arial" w:hAnsi="Arial" w:cs="Arial"/>
              </w:rPr>
            </w:pPr>
            <w:r w:rsidRPr="00B41883">
              <w:rPr>
                <w:rFonts w:ascii="Arial" w:hAnsi="Arial" w:cs="Arial"/>
              </w:rPr>
              <w:t>Figure S</w:t>
            </w:r>
            <w:r w:rsidR="00022F8E">
              <w:rPr>
                <w:rFonts w:ascii="Arial" w:hAnsi="Arial" w:cs="Arial"/>
              </w:rPr>
              <w:t>8</w:t>
            </w:r>
            <w:r w:rsidR="00D74A70" w:rsidRPr="00B41883">
              <w:rPr>
                <w:rFonts w:ascii="Arial" w:hAnsi="Arial" w:cs="Arial"/>
              </w:rPr>
              <w:t xml:space="preserve">. </w:t>
            </w:r>
            <w:r w:rsidR="00343D99" w:rsidRPr="00B41883">
              <w:rPr>
                <w:rFonts w:ascii="Arial" w:hAnsi="Arial" w:cs="Arial"/>
              </w:rPr>
              <w:t>Concordance of epigenetic age estimates across principal component clocks and arrays.</w:t>
            </w:r>
          </w:p>
        </w:tc>
      </w:tr>
      <w:tr w:rsidR="003E2CE5" w:rsidRPr="00B41883" w14:paraId="75AE3D56" w14:textId="77777777" w:rsidTr="00B41883">
        <w:tc>
          <w:tcPr>
            <w:tcW w:w="12895" w:type="dxa"/>
          </w:tcPr>
          <w:p w14:paraId="5B58B896" w14:textId="722CD6EE" w:rsidR="003E2CE5" w:rsidRPr="00B41883" w:rsidRDefault="006E7C13" w:rsidP="00123D3E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3D3E61EC" wp14:editId="375D1230">
                  <wp:extent cx="8069802" cy="4811370"/>
                  <wp:effectExtent l="0" t="0" r="0" b="2540"/>
                  <wp:docPr id="1747822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82231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5230" cy="481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79F" w:rsidRPr="00B41883" w14:paraId="572B01DE" w14:textId="77777777" w:rsidTr="00B41883">
        <w:tc>
          <w:tcPr>
            <w:tcW w:w="12895" w:type="dxa"/>
          </w:tcPr>
          <w:p w14:paraId="38740D32" w14:textId="468D304D" w:rsidR="00F3079F" w:rsidRPr="00B41883" w:rsidRDefault="00343D99" w:rsidP="00F3079F">
            <w:pPr>
              <w:rPr>
                <w:rFonts w:ascii="Arial" w:hAnsi="Arial" w:cs="Arial"/>
                <w:sz w:val="22"/>
                <w:szCs w:val="22"/>
              </w:rPr>
            </w:pPr>
            <w:r w:rsidRPr="00B41883">
              <w:rPr>
                <w:rFonts w:ascii="Arial" w:hAnsi="Arial" w:cs="Arial"/>
                <w:sz w:val="22"/>
                <w:szCs w:val="22"/>
              </w:rPr>
              <w:t>Comparison of the epigenetic age estimates for all epigenetic clocks using principal components</w:t>
            </w:r>
            <w:r w:rsidR="003750CC" w:rsidRPr="00B41883">
              <w:rPr>
                <w:rFonts w:ascii="Arial" w:hAnsi="Arial" w:cs="Arial"/>
                <w:sz w:val="22"/>
                <w:szCs w:val="22"/>
              </w:rPr>
              <w:t xml:space="preserve"> (PC)</w:t>
            </w:r>
            <w:r w:rsidRPr="00B41883">
              <w:rPr>
                <w:rFonts w:ascii="Arial" w:hAnsi="Arial" w:cs="Arial"/>
                <w:sz w:val="22"/>
                <w:szCs w:val="22"/>
              </w:rPr>
              <w:t xml:space="preserve">. </w:t>
            </w:r>
            <w:r w:rsidR="00702D59" w:rsidRPr="00B41883">
              <w:rPr>
                <w:rFonts w:ascii="Arial" w:hAnsi="Arial" w:cs="Arial"/>
                <w:sz w:val="22"/>
                <w:szCs w:val="22"/>
              </w:rPr>
              <w:t>Colors refer to the different epigenetic clocks, with Pearson correlations shown for each array comparison.</w:t>
            </w:r>
            <w:r w:rsidR="003750CC" w:rsidRPr="00B41883">
              <w:rPr>
                <w:rFonts w:ascii="Arial" w:hAnsi="Arial" w:cs="Arial"/>
                <w:sz w:val="22"/>
                <w:szCs w:val="22"/>
              </w:rPr>
              <w:t xml:space="preserve"> The PC versions of the GrimAge2 and </w:t>
            </w:r>
            <w:proofErr w:type="spellStart"/>
            <w:r w:rsidR="003750CC" w:rsidRPr="00B41883">
              <w:rPr>
                <w:rFonts w:ascii="Arial" w:hAnsi="Arial" w:cs="Arial"/>
                <w:sz w:val="22"/>
                <w:szCs w:val="22"/>
              </w:rPr>
              <w:t>DunedinPACE</w:t>
            </w:r>
            <w:proofErr w:type="spellEnd"/>
            <w:r w:rsidR="003750CC" w:rsidRPr="00B41883">
              <w:rPr>
                <w:rFonts w:ascii="Arial" w:hAnsi="Arial" w:cs="Arial"/>
                <w:sz w:val="22"/>
                <w:szCs w:val="22"/>
              </w:rPr>
              <w:t xml:space="preserve"> clocks were </w:t>
            </w:r>
            <w:r w:rsidR="00D543FB">
              <w:rPr>
                <w:rFonts w:ascii="Arial" w:hAnsi="Arial" w:cs="Arial"/>
                <w:sz w:val="22"/>
                <w:szCs w:val="22"/>
              </w:rPr>
              <w:t>un</w:t>
            </w:r>
            <w:r w:rsidR="003750CC" w:rsidRPr="00B41883">
              <w:rPr>
                <w:rFonts w:ascii="Arial" w:hAnsi="Arial" w:cs="Arial"/>
                <w:sz w:val="22"/>
                <w:szCs w:val="22"/>
              </w:rPr>
              <w:t xml:space="preserve">available. </w:t>
            </w:r>
          </w:p>
        </w:tc>
      </w:tr>
    </w:tbl>
    <w:p w14:paraId="232E5532" w14:textId="52554FA9" w:rsidR="003E2CE5" w:rsidRPr="00B41883" w:rsidRDefault="003E2CE5" w:rsidP="00AC13F6">
      <w:pPr>
        <w:rPr>
          <w:rFonts w:ascii="Arial" w:hAnsi="Arial" w:cs="Arial"/>
          <w:sz w:val="22"/>
          <w:szCs w:val="22"/>
        </w:rPr>
      </w:pPr>
    </w:p>
    <w:sectPr w:rsidR="003E2CE5" w:rsidRPr="00B41883" w:rsidSect="006026C7">
      <w:pgSz w:w="15840" w:h="12240" w:orient="landscape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E6E3F9" w14:textId="77777777" w:rsidR="00785985" w:rsidRDefault="00785985" w:rsidP="00835358">
      <w:r>
        <w:separator/>
      </w:r>
    </w:p>
  </w:endnote>
  <w:endnote w:type="continuationSeparator" w:id="0">
    <w:p w14:paraId="57E5985C" w14:textId="77777777" w:rsidR="00785985" w:rsidRDefault="00785985" w:rsidP="008353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7468807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379DDFA" w14:textId="5A379B01" w:rsidR="00835358" w:rsidRDefault="00835358" w:rsidP="002A0CA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6D6658"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5E2E5B85" w14:textId="77777777" w:rsidR="00835358" w:rsidRDefault="00835358" w:rsidP="0083535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  <w:sz w:val="22"/>
        <w:szCs w:val="22"/>
      </w:rPr>
      <w:id w:val="-81056041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6E6A3B0" w14:textId="6AC83200" w:rsidR="00835358" w:rsidRPr="00835358" w:rsidRDefault="00835358" w:rsidP="002A0CA6">
        <w:pPr>
          <w:pStyle w:val="Footer"/>
          <w:framePr w:wrap="none" w:vAnchor="text" w:hAnchor="margin" w:xAlign="right" w:y="1"/>
          <w:rPr>
            <w:rStyle w:val="PageNumber"/>
            <w:sz w:val="22"/>
            <w:szCs w:val="22"/>
          </w:rPr>
        </w:pPr>
        <w:r w:rsidRPr="00835358">
          <w:rPr>
            <w:rStyle w:val="PageNumber"/>
            <w:sz w:val="22"/>
            <w:szCs w:val="22"/>
          </w:rPr>
          <w:fldChar w:fldCharType="begin"/>
        </w:r>
        <w:r w:rsidRPr="00835358">
          <w:rPr>
            <w:rStyle w:val="PageNumber"/>
            <w:sz w:val="22"/>
            <w:szCs w:val="22"/>
          </w:rPr>
          <w:instrText xml:space="preserve"> PAGE </w:instrText>
        </w:r>
        <w:r w:rsidRPr="00835358">
          <w:rPr>
            <w:rStyle w:val="PageNumber"/>
            <w:sz w:val="22"/>
            <w:szCs w:val="22"/>
          </w:rPr>
          <w:fldChar w:fldCharType="separate"/>
        </w:r>
        <w:r w:rsidRPr="00835358">
          <w:rPr>
            <w:rStyle w:val="PageNumber"/>
            <w:noProof/>
            <w:sz w:val="22"/>
            <w:szCs w:val="22"/>
          </w:rPr>
          <w:t>2</w:t>
        </w:r>
        <w:r w:rsidRPr="00835358">
          <w:rPr>
            <w:rStyle w:val="PageNumber"/>
            <w:sz w:val="22"/>
            <w:szCs w:val="22"/>
          </w:rPr>
          <w:fldChar w:fldCharType="end"/>
        </w:r>
      </w:p>
    </w:sdtContent>
  </w:sdt>
  <w:p w14:paraId="19B1D936" w14:textId="77777777" w:rsidR="00835358" w:rsidRDefault="00835358" w:rsidP="0083535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619D49" w14:textId="77777777" w:rsidR="00785985" w:rsidRDefault="00785985" w:rsidP="00835358">
      <w:r>
        <w:separator/>
      </w:r>
    </w:p>
  </w:footnote>
  <w:footnote w:type="continuationSeparator" w:id="0">
    <w:p w14:paraId="177FE4B3" w14:textId="77777777" w:rsidR="00785985" w:rsidRDefault="00785985" w:rsidP="0083535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96E"/>
    <w:rsid w:val="00003277"/>
    <w:rsid w:val="0000437C"/>
    <w:rsid w:val="00005BBD"/>
    <w:rsid w:val="00015FD9"/>
    <w:rsid w:val="00022F8E"/>
    <w:rsid w:val="00033C32"/>
    <w:rsid w:val="00033E18"/>
    <w:rsid w:val="00035502"/>
    <w:rsid w:val="000416B2"/>
    <w:rsid w:val="00047B7E"/>
    <w:rsid w:val="00066D71"/>
    <w:rsid w:val="00073FB3"/>
    <w:rsid w:val="00074B09"/>
    <w:rsid w:val="00080F79"/>
    <w:rsid w:val="000A06D1"/>
    <w:rsid w:val="000A30B0"/>
    <w:rsid w:val="000B0DC9"/>
    <w:rsid w:val="000B3A3D"/>
    <w:rsid w:val="000C4143"/>
    <w:rsid w:val="000C552E"/>
    <w:rsid w:val="000D5DD7"/>
    <w:rsid w:val="000D747B"/>
    <w:rsid w:val="000D790D"/>
    <w:rsid w:val="000E049F"/>
    <w:rsid w:val="000E6CE7"/>
    <w:rsid w:val="000F515A"/>
    <w:rsid w:val="00103E54"/>
    <w:rsid w:val="00106151"/>
    <w:rsid w:val="0011789B"/>
    <w:rsid w:val="001237AB"/>
    <w:rsid w:val="00123D3E"/>
    <w:rsid w:val="00137759"/>
    <w:rsid w:val="0014088C"/>
    <w:rsid w:val="001427F3"/>
    <w:rsid w:val="0014411A"/>
    <w:rsid w:val="00151732"/>
    <w:rsid w:val="00151A5D"/>
    <w:rsid w:val="00153287"/>
    <w:rsid w:val="0015389C"/>
    <w:rsid w:val="00155B57"/>
    <w:rsid w:val="00183AD2"/>
    <w:rsid w:val="00184BEB"/>
    <w:rsid w:val="001966CB"/>
    <w:rsid w:val="00196BFE"/>
    <w:rsid w:val="001A50A9"/>
    <w:rsid w:val="001B0CDF"/>
    <w:rsid w:val="001B42CD"/>
    <w:rsid w:val="001C3225"/>
    <w:rsid w:val="001C448D"/>
    <w:rsid w:val="001C5C79"/>
    <w:rsid w:val="001D03F4"/>
    <w:rsid w:val="001D0ECA"/>
    <w:rsid w:val="001E2572"/>
    <w:rsid w:val="001E31B6"/>
    <w:rsid w:val="001E6A2E"/>
    <w:rsid w:val="001F0FD9"/>
    <w:rsid w:val="001F1144"/>
    <w:rsid w:val="001F5147"/>
    <w:rsid w:val="00206434"/>
    <w:rsid w:val="0021084D"/>
    <w:rsid w:val="002143E6"/>
    <w:rsid w:val="0021720B"/>
    <w:rsid w:val="00225AD5"/>
    <w:rsid w:val="002308D7"/>
    <w:rsid w:val="00233370"/>
    <w:rsid w:val="00255FFD"/>
    <w:rsid w:val="002562D0"/>
    <w:rsid w:val="00256B0D"/>
    <w:rsid w:val="00257E1D"/>
    <w:rsid w:val="00261712"/>
    <w:rsid w:val="00267148"/>
    <w:rsid w:val="0028079E"/>
    <w:rsid w:val="002A4300"/>
    <w:rsid w:val="002B5E72"/>
    <w:rsid w:val="002C45A3"/>
    <w:rsid w:val="002D3F28"/>
    <w:rsid w:val="002D7166"/>
    <w:rsid w:val="002D768C"/>
    <w:rsid w:val="002E43A9"/>
    <w:rsid w:val="002E4576"/>
    <w:rsid w:val="00302409"/>
    <w:rsid w:val="00302873"/>
    <w:rsid w:val="00305854"/>
    <w:rsid w:val="0030698A"/>
    <w:rsid w:val="00343D99"/>
    <w:rsid w:val="003606C7"/>
    <w:rsid w:val="0037215C"/>
    <w:rsid w:val="003735FC"/>
    <w:rsid w:val="003750CC"/>
    <w:rsid w:val="00384D5F"/>
    <w:rsid w:val="00393FF8"/>
    <w:rsid w:val="003A50D0"/>
    <w:rsid w:val="003B37C7"/>
    <w:rsid w:val="003B3C1D"/>
    <w:rsid w:val="003C126E"/>
    <w:rsid w:val="003D146E"/>
    <w:rsid w:val="003D6292"/>
    <w:rsid w:val="003E2CE5"/>
    <w:rsid w:val="003E3BE1"/>
    <w:rsid w:val="003E5074"/>
    <w:rsid w:val="003E5488"/>
    <w:rsid w:val="003E72F7"/>
    <w:rsid w:val="003F6F36"/>
    <w:rsid w:val="00420EBB"/>
    <w:rsid w:val="00421450"/>
    <w:rsid w:val="004223BD"/>
    <w:rsid w:val="00423B35"/>
    <w:rsid w:val="00430535"/>
    <w:rsid w:val="004327B0"/>
    <w:rsid w:val="00436FB3"/>
    <w:rsid w:val="00440BD6"/>
    <w:rsid w:val="00442AA0"/>
    <w:rsid w:val="00443F8D"/>
    <w:rsid w:val="0045083A"/>
    <w:rsid w:val="00473BD4"/>
    <w:rsid w:val="004843EA"/>
    <w:rsid w:val="0048589B"/>
    <w:rsid w:val="0049477A"/>
    <w:rsid w:val="004A1836"/>
    <w:rsid w:val="004A1890"/>
    <w:rsid w:val="004A258F"/>
    <w:rsid w:val="004C673C"/>
    <w:rsid w:val="004D0751"/>
    <w:rsid w:val="004D07F6"/>
    <w:rsid w:val="004D2EC6"/>
    <w:rsid w:val="004D4BFE"/>
    <w:rsid w:val="004D7D5B"/>
    <w:rsid w:val="004E557E"/>
    <w:rsid w:val="004F20E0"/>
    <w:rsid w:val="004F3FC9"/>
    <w:rsid w:val="00503237"/>
    <w:rsid w:val="005151F0"/>
    <w:rsid w:val="00516F49"/>
    <w:rsid w:val="005265CC"/>
    <w:rsid w:val="0057751F"/>
    <w:rsid w:val="00584EEC"/>
    <w:rsid w:val="00592959"/>
    <w:rsid w:val="005A0033"/>
    <w:rsid w:val="005B7203"/>
    <w:rsid w:val="005C2226"/>
    <w:rsid w:val="005C66A9"/>
    <w:rsid w:val="005C720C"/>
    <w:rsid w:val="005C781D"/>
    <w:rsid w:val="005D6550"/>
    <w:rsid w:val="005D6C17"/>
    <w:rsid w:val="00601561"/>
    <w:rsid w:val="006026C7"/>
    <w:rsid w:val="00602F22"/>
    <w:rsid w:val="00622962"/>
    <w:rsid w:val="0063160E"/>
    <w:rsid w:val="006360FB"/>
    <w:rsid w:val="00640520"/>
    <w:rsid w:val="00640FEE"/>
    <w:rsid w:val="00647B83"/>
    <w:rsid w:val="00673DD9"/>
    <w:rsid w:val="0068054D"/>
    <w:rsid w:val="00685793"/>
    <w:rsid w:val="006945D8"/>
    <w:rsid w:val="00694E0B"/>
    <w:rsid w:val="00696AF1"/>
    <w:rsid w:val="006A35E4"/>
    <w:rsid w:val="006A4201"/>
    <w:rsid w:val="006A7683"/>
    <w:rsid w:val="006A7E16"/>
    <w:rsid w:val="006B7B03"/>
    <w:rsid w:val="006D6658"/>
    <w:rsid w:val="006E72AE"/>
    <w:rsid w:val="006E7C13"/>
    <w:rsid w:val="006F14FF"/>
    <w:rsid w:val="006F32E7"/>
    <w:rsid w:val="00702D59"/>
    <w:rsid w:val="00710B11"/>
    <w:rsid w:val="00715442"/>
    <w:rsid w:val="00741356"/>
    <w:rsid w:val="00742396"/>
    <w:rsid w:val="00743163"/>
    <w:rsid w:val="00750BE8"/>
    <w:rsid w:val="00756250"/>
    <w:rsid w:val="00766D4A"/>
    <w:rsid w:val="0076774A"/>
    <w:rsid w:val="00785985"/>
    <w:rsid w:val="007909E2"/>
    <w:rsid w:val="007A0BE5"/>
    <w:rsid w:val="007B0BF0"/>
    <w:rsid w:val="007B269F"/>
    <w:rsid w:val="007D0156"/>
    <w:rsid w:val="007F56FD"/>
    <w:rsid w:val="008075FE"/>
    <w:rsid w:val="00810671"/>
    <w:rsid w:val="008219F5"/>
    <w:rsid w:val="00835358"/>
    <w:rsid w:val="008539A7"/>
    <w:rsid w:val="0085740D"/>
    <w:rsid w:val="00872325"/>
    <w:rsid w:val="0087278B"/>
    <w:rsid w:val="008850EC"/>
    <w:rsid w:val="00890D02"/>
    <w:rsid w:val="00897D3A"/>
    <w:rsid w:val="008A3E66"/>
    <w:rsid w:val="008A6373"/>
    <w:rsid w:val="008D0694"/>
    <w:rsid w:val="008D3461"/>
    <w:rsid w:val="008E0651"/>
    <w:rsid w:val="009601E7"/>
    <w:rsid w:val="0096323B"/>
    <w:rsid w:val="009660DC"/>
    <w:rsid w:val="0098154A"/>
    <w:rsid w:val="0098259F"/>
    <w:rsid w:val="00982C15"/>
    <w:rsid w:val="00990BFB"/>
    <w:rsid w:val="009A597A"/>
    <w:rsid w:val="009B46FA"/>
    <w:rsid w:val="009E0515"/>
    <w:rsid w:val="00A1220F"/>
    <w:rsid w:val="00A122DA"/>
    <w:rsid w:val="00A33E85"/>
    <w:rsid w:val="00A37184"/>
    <w:rsid w:val="00A4556A"/>
    <w:rsid w:val="00A45AFD"/>
    <w:rsid w:val="00A521E5"/>
    <w:rsid w:val="00A55F05"/>
    <w:rsid w:val="00A63262"/>
    <w:rsid w:val="00A638CF"/>
    <w:rsid w:val="00A66EEB"/>
    <w:rsid w:val="00AA4FD1"/>
    <w:rsid w:val="00AA51C2"/>
    <w:rsid w:val="00AA527F"/>
    <w:rsid w:val="00AA545B"/>
    <w:rsid w:val="00AC0FA2"/>
    <w:rsid w:val="00AC13F6"/>
    <w:rsid w:val="00AC7244"/>
    <w:rsid w:val="00AD77D1"/>
    <w:rsid w:val="00AE2C9D"/>
    <w:rsid w:val="00AF55A8"/>
    <w:rsid w:val="00B013C4"/>
    <w:rsid w:val="00B13283"/>
    <w:rsid w:val="00B16FCE"/>
    <w:rsid w:val="00B231A7"/>
    <w:rsid w:val="00B324B4"/>
    <w:rsid w:val="00B347AB"/>
    <w:rsid w:val="00B36184"/>
    <w:rsid w:val="00B412DD"/>
    <w:rsid w:val="00B41869"/>
    <w:rsid w:val="00B41883"/>
    <w:rsid w:val="00B42C5E"/>
    <w:rsid w:val="00B55C7D"/>
    <w:rsid w:val="00B67537"/>
    <w:rsid w:val="00B75309"/>
    <w:rsid w:val="00B80345"/>
    <w:rsid w:val="00B826A3"/>
    <w:rsid w:val="00B87462"/>
    <w:rsid w:val="00B90225"/>
    <w:rsid w:val="00B93799"/>
    <w:rsid w:val="00BA06BF"/>
    <w:rsid w:val="00BA55D7"/>
    <w:rsid w:val="00BA6938"/>
    <w:rsid w:val="00BA7A69"/>
    <w:rsid w:val="00BB3DA6"/>
    <w:rsid w:val="00BB4A64"/>
    <w:rsid w:val="00BB5CFC"/>
    <w:rsid w:val="00BB6584"/>
    <w:rsid w:val="00BD1E39"/>
    <w:rsid w:val="00BD36BB"/>
    <w:rsid w:val="00BE0CBF"/>
    <w:rsid w:val="00BF3447"/>
    <w:rsid w:val="00C01090"/>
    <w:rsid w:val="00C017FE"/>
    <w:rsid w:val="00C0373B"/>
    <w:rsid w:val="00C113A5"/>
    <w:rsid w:val="00C11A00"/>
    <w:rsid w:val="00C2440A"/>
    <w:rsid w:val="00C26AE9"/>
    <w:rsid w:val="00C3726D"/>
    <w:rsid w:val="00C374B3"/>
    <w:rsid w:val="00C41BC5"/>
    <w:rsid w:val="00C43AA4"/>
    <w:rsid w:val="00C554B6"/>
    <w:rsid w:val="00C71902"/>
    <w:rsid w:val="00C71B3F"/>
    <w:rsid w:val="00C76C58"/>
    <w:rsid w:val="00C872CC"/>
    <w:rsid w:val="00C93A07"/>
    <w:rsid w:val="00C963C9"/>
    <w:rsid w:val="00CA0BD1"/>
    <w:rsid w:val="00CA2838"/>
    <w:rsid w:val="00CD61CE"/>
    <w:rsid w:val="00CE0470"/>
    <w:rsid w:val="00CE7693"/>
    <w:rsid w:val="00CF1BD5"/>
    <w:rsid w:val="00D01852"/>
    <w:rsid w:val="00D1558B"/>
    <w:rsid w:val="00D2496F"/>
    <w:rsid w:val="00D270E6"/>
    <w:rsid w:val="00D31FD7"/>
    <w:rsid w:val="00D36119"/>
    <w:rsid w:val="00D43D7A"/>
    <w:rsid w:val="00D4577F"/>
    <w:rsid w:val="00D50B29"/>
    <w:rsid w:val="00D543FB"/>
    <w:rsid w:val="00D72B8C"/>
    <w:rsid w:val="00D74A70"/>
    <w:rsid w:val="00D838E6"/>
    <w:rsid w:val="00DC5928"/>
    <w:rsid w:val="00DD6114"/>
    <w:rsid w:val="00DE0558"/>
    <w:rsid w:val="00DE5F08"/>
    <w:rsid w:val="00DF0879"/>
    <w:rsid w:val="00DF3A07"/>
    <w:rsid w:val="00E00336"/>
    <w:rsid w:val="00E03DFA"/>
    <w:rsid w:val="00E129BC"/>
    <w:rsid w:val="00E26937"/>
    <w:rsid w:val="00E40482"/>
    <w:rsid w:val="00E43464"/>
    <w:rsid w:val="00E50135"/>
    <w:rsid w:val="00E5296E"/>
    <w:rsid w:val="00E62EBC"/>
    <w:rsid w:val="00E95A45"/>
    <w:rsid w:val="00EB177A"/>
    <w:rsid w:val="00EC42A0"/>
    <w:rsid w:val="00ED3F11"/>
    <w:rsid w:val="00ED786E"/>
    <w:rsid w:val="00EE30EB"/>
    <w:rsid w:val="00EF2CEE"/>
    <w:rsid w:val="00EF4EF8"/>
    <w:rsid w:val="00F3079F"/>
    <w:rsid w:val="00F31833"/>
    <w:rsid w:val="00F319A0"/>
    <w:rsid w:val="00F4214F"/>
    <w:rsid w:val="00F42F74"/>
    <w:rsid w:val="00F55A48"/>
    <w:rsid w:val="00F569EF"/>
    <w:rsid w:val="00F61BDD"/>
    <w:rsid w:val="00F805FE"/>
    <w:rsid w:val="00F8258A"/>
    <w:rsid w:val="00F874E4"/>
    <w:rsid w:val="00F90D0C"/>
    <w:rsid w:val="00FA1B56"/>
    <w:rsid w:val="00FA2908"/>
    <w:rsid w:val="00FA75A8"/>
    <w:rsid w:val="00FB3A07"/>
    <w:rsid w:val="00FC381F"/>
    <w:rsid w:val="00FD23E3"/>
    <w:rsid w:val="00FE3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6A5C7"/>
  <w15:chartTrackingRefBased/>
  <w15:docId w15:val="{F50195AF-1C92-9946-85A6-1131D32B8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2CEE"/>
  </w:style>
  <w:style w:type="paragraph" w:styleId="Heading1">
    <w:name w:val="heading 1"/>
    <w:basedOn w:val="Normal"/>
    <w:next w:val="Normal"/>
    <w:link w:val="Heading1Char"/>
    <w:uiPriority w:val="9"/>
    <w:qFormat/>
    <w:rsid w:val="00EF2C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2C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Lnormal">
    <w:name w:val="AL_normal"/>
    <w:basedOn w:val="Normal"/>
    <w:qFormat/>
    <w:rsid w:val="006A7683"/>
    <w:pPr>
      <w:widowControl w:val="0"/>
      <w:spacing w:line="276" w:lineRule="auto"/>
      <w:ind w:firstLine="720"/>
    </w:pPr>
    <w:rPr>
      <w:rFonts w:ascii="Times New Roman" w:hAnsi="Times New Roman"/>
    </w:rPr>
  </w:style>
  <w:style w:type="paragraph" w:customStyle="1" w:styleId="ALHeader2">
    <w:name w:val="AL_Header2"/>
    <w:qFormat/>
    <w:rsid w:val="006A7683"/>
    <w:rPr>
      <w:rFonts w:ascii="Times New Roman" w:eastAsiaTheme="majorEastAsia" w:hAnsi="Times New Roman" w:cs="Times New Roman (Headings CS)"/>
      <w:b/>
      <w:color w:val="000000" w:themeColor="text1"/>
      <w:szCs w:val="32"/>
    </w:rPr>
  </w:style>
  <w:style w:type="paragraph" w:customStyle="1" w:styleId="ALHeader1">
    <w:name w:val="AL_Header1"/>
    <w:qFormat/>
    <w:rsid w:val="006A7683"/>
    <w:rPr>
      <w:rFonts w:ascii="Times New Roman" w:eastAsiaTheme="majorEastAsia" w:hAnsi="Times New Roman" w:cs="Times New Roman (Headings CS)"/>
      <w:b/>
      <w:caps/>
      <w:color w:val="000000" w:themeColor="text1"/>
      <w:szCs w:val="32"/>
    </w:rPr>
  </w:style>
  <w:style w:type="paragraph" w:customStyle="1" w:styleId="ALHeader3">
    <w:name w:val="AL_Header3"/>
    <w:basedOn w:val="ALHeader2"/>
    <w:next w:val="ALnormal"/>
    <w:qFormat/>
    <w:rsid w:val="006A7683"/>
    <w:rPr>
      <w:b w:val="0"/>
      <w:i/>
    </w:rPr>
  </w:style>
  <w:style w:type="paragraph" w:customStyle="1" w:styleId="Alexhead">
    <w:name w:val="Alex_head"/>
    <w:qFormat/>
    <w:rsid w:val="0028079E"/>
    <w:rPr>
      <w:rFonts w:ascii="Times New Roman" w:eastAsia="Times New Roman" w:hAnsi="Times New Roman" w:cs="Times New Roman"/>
      <w:b/>
      <w:caps/>
      <w:szCs w:val="20"/>
    </w:rPr>
  </w:style>
  <w:style w:type="paragraph" w:customStyle="1" w:styleId="Alexsub2">
    <w:name w:val="Alex_sub2"/>
    <w:qFormat/>
    <w:rsid w:val="0028079E"/>
    <w:rPr>
      <w:rFonts w:ascii="Times New Roman" w:eastAsia="Times New Roman" w:hAnsi="Times New Roman" w:cs="Times New Roman"/>
      <w:i/>
      <w:szCs w:val="20"/>
    </w:rPr>
  </w:style>
  <w:style w:type="paragraph" w:customStyle="1" w:styleId="AlexSub1">
    <w:name w:val="Alex_Sub1"/>
    <w:basedOn w:val="Normal"/>
    <w:qFormat/>
    <w:rsid w:val="0028079E"/>
    <w:rPr>
      <w:rFonts w:ascii="Times New Roman" w:eastAsia="Times New Roman" w:hAnsi="Times New Roman" w:cs="Times New Roman"/>
      <w:b/>
      <w:szCs w:val="20"/>
    </w:rPr>
  </w:style>
  <w:style w:type="paragraph" w:customStyle="1" w:styleId="Alexparagraph">
    <w:name w:val="Alex_paragraph"/>
    <w:qFormat/>
    <w:rsid w:val="0028079E"/>
    <w:rPr>
      <w:rFonts w:ascii="Times New Roman" w:eastAsia="Times New Roman" w:hAnsi="Times New Roman" w:cs="Times New Roman"/>
      <w:szCs w:val="20"/>
    </w:rPr>
  </w:style>
  <w:style w:type="table" w:styleId="TableGrid">
    <w:name w:val="Table Grid"/>
    <w:basedOn w:val="TableNormal"/>
    <w:uiPriority w:val="39"/>
    <w:rsid w:val="003E2C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83535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5358"/>
  </w:style>
  <w:style w:type="character" w:styleId="PageNumber">
    <w:name w:val="page number"/>
    <w:basedOn w:val="DefaultParagraphFont"/>
    <w:uiPriority w:val="99"/>
    <w:semiHidden/>
    <w:unhideWhenUsed/>
    <w:rsid w:val="00835358"/>
  </w:style>
  <w:style w:type="paragraph" w:styleId="Header">
    <w:name w:val="header"/>
    <w:basedOn w:val="Normal"/>
    <w:link w:val="HeaderChar"/>
    <w:uiPriority w:val="99"/>
    <w:unhideWhenUsed/>
    <w:rsid w:val="0083535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5358"/>
  </w:style>
  <w:style w:type="paragraph" w:styleId="Revision">
    <w:name w:val="Revision"/>
    <w:hidden/>
    <w:uiPriority w:val="99"/>
    <w:semiHidden/>
    <w:rsid w:val="00CE0470"/>
  </w:style>
  <w:style w:type="character" w:styleId="CommentReference">
    <w:name w:val="annotation reference"/>
    <w:basedOn w:val="DefaultParagraphFont"/>
    <w:uiPriority w:val="99"/>
    <w:semiHidden/>
    <w:unhideWhenUsed/>
    <w:rsid w:val="00C244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2440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2440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244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2440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oter" Target="footer2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584</Words>
  <Characters>3331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Lussier, Alexandre</dc:creator>
  <cp:keywords/>
  <dc:description/>
  <cp:lastModifiedBy>Lussier, Alexandre</cp:lastModifiedBy>
  <cp:revision>6</cp:revision>
  <dcterms:created xsi:type="dcterms:W3CDTF">2024-10-09T19:08:00Z</dcterms:created>
  <dcterms:modified xsi:type="dcterms:W3CDTF">2024-10-09T19:35:00Z</dcterms:modified>
</cp:coreProperties>
</file>